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119" w:rsidRDefault="00061129">
      <w:r>
        <w:t xml:space="preserve">Ad </w:t>
      </w:r>
      <w:proofErr w:type="spellStart"/>
      <w:r>
        <w:t>libris</w:t>
      </w:r>
      <w:proofErr w:type="spellEnd"/>
      <w:r>
        <w:t xml:space="preserve"> topplista – Lär dig Leva</w:t>
      </w:r>
      <w:r w:rsidR="00874849">
        <w:t xml:space="preserve"> (bok om existentiella frågor mest sålda bok)</w:t>
      </w:r>
    </w:p>
    <w:p w:rsidR="00061129" w:rsidRDefault="00061129">
      <w:r>
        <w:t xml:space="preserve">Antal patienter med </w:t>
      </w:r>
      <w:proofErr w:type="spellStart"/>
      <w:r w:rsidR="005A6891">
        <w:t>neuroleptika</w:t>
      </w:r>
      <w:proofErr w:type="spellEnd"/>
      <w:r w:rsidR="005A6891">
        <w:t xml:space="preserve">, </w:t>
      </w:r>
      <w:r>
        <w:t>lugnande och sömnmedicin</w:t>
      </w:r>
      <w:r w:rsidR="00874849">
        <w:t xml:space="preserve"> i Kronoberg</w:t>
      </w:r>
      <w:r>
        <w:t xml:space="preserve"> 2014: 23660, 126,2 per 1000 </w:t>
      </w:r>
      <w:proofErr w:type="spellStart"/>
      <w:r>
        <w:t>inv</w:t>
      </w:r>
      <w:proofErr w:type="spellEnd"/>
    </w:p>
    <w:p w:rsidR="005A6891" w:rsidRPr="005A6891" w:rsidRDefault="005A6891" w:rsidP="005A689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Pr>
          <w:rFonts w:ascii="Times New Roman" w:eastAsia="Times New Roman" w:hAnsi="Times New Roman" w:cs="Times New Roman"/>
          <w:b/>
          <w:bCs/>
          <w:sz w:val="36"/>
          <w:szCs w:val="36"/>
          <w:lang w:eastAsia="sv-SE"/>
        </w:rPr>
        <w:t>G</w:t>
      </w:r>
      <w:r w:rsidRPr="005A6891">
        <w:rPr>
          <w:rFonts w:ascii="Times New Roman" w:eastAsia="Times New Roman" w:hAnsi="Times New Roman" w:cs="Times New Roman"/>
          <w:b/>
          <w:bCs/>
          <w:sz w:val="36"/>
          <w:szCs w:val="36"/>
          <w:lang w:eastAsia="sv-SE"/>
        </w:rPr>
        <w:t xml:space="preserve">enomsnittlig tid för fritidsaktiviteter efter familjecykel år 2010/11. Befolkningen 20-84 år. Alla dagar </w:t>
      </w:r>
    </w:p>
    <w:p w:rsidR="005A6891" w:rsidRPr="005A6891" w:rsidRDefault="005A6891" w:rsidP="005A6891">
      <w:pPr>
        <w:spacing w:after="0" w:line="240" w:lineRule="auto"/>
        <w:rPr>
          <w:rFonts w:ascii="Times New Roman" w:eastAsia="Times New Roman" w:hAnsi="Times New Roman" w:cs="Times New Roman"/>
          <w:sz w:val="24"/>
          <w:szCs w:val="24"/>
          <w:lang w:eastAsia="sv-SE"/>
        </w:rPr>
      </w:pPr>
      <w:r w:rsidRPr="005A6891">
        <w:rPr>
          <w:rFonts w:ascii="Times New Roman" w:eastAsia="Times New Roman" w:hAnsi="Times New Roman" w:cs="Times New Roman"/>
          <w:sz w:val="24"/>
          <w:szCs w:val="24"/>
          <w:lang w:eastAsia="sv-SE"/>
        </w:rPr>
        <w:t xml:space="preserve">Timmar per dag. </w:t>
      </w:r>
    </w:p>
    <w:p w:rsidR="005A6891" w:rsidRPr="005A6891" w:rsidRDefault="005A6891" w:rsidP="005A689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4629785" cy="4836160"/>
            <wp:effectExtent l="0" t="0" r="0" b="2540"/>
            <wp:docPr id="1" name="Bildobjekt 1" descr="http://www.scb.se/Statistik/LE/LE0103/2010A01/ILK%202010%2020-84%20fritidsaktiviteter_32472_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b.se/Statistik/LE/LE0103/2010A01/ILK%202010%2020-84%20fritidsaktiviteter_32472_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785" cy="4836160"/>
                    </a:xfrm>
                    <a:prstGeom prst="rect">
                      <a:avLst/>
                    </a:prstGeom>
                    <a:noFill/>
                    <a:ln>
                      <a:noFill/>
                    </a:ln>
                  </pic:spPr>
                </pic:pic>
              </a:graphicData>
            </a:graphic>
          </wp:inline>
        </w:drawing>
      </w:r>
    </w:p>
    <w:p w:rsidR="00874849" w:rsidRDefault="00874849" w:rsidP="00DF47C2">
      <w:pPr>
        <w:pStyle w:val="Rubrik4"/>
      </w:pPr>
    </w:p>
    <w:p w:rsidR="00874849" w:rsidRDefault="00874849" w:rsidP="00DF47C2">
      <w:pPr>
        <w:pStyle w:val="Rubrik4"/>
      </w:pPr>
    </w:p>
    <w:p w:rsidR="00874849" w:rsidRDefault="00874849" w:rsidP="00DF47C2">
      <w:pPr>
        <w:pStyle w:val="Rubrik4"/>
      </w:pPr>
    </w:p>
    <w:p w:rsidR="00874849" w:rsidRDefault="00874849" w:rsidP="00DF47C2">
      <w:pPr>
        <w:pStyle w:val="Rubrik4"/>
      </w:pPr>
    </w:p>
    <w:p w:rsidR="00874849" w:rsidRPr="00874849" w:rsidRDefault="00874849" w:rsidP="00874849"/>
    <w:p w:rsidR="00DF47C2" w:rsidRDefault="00DF47C2" w:rsidP="00DF47C2">
      <w:pPr>
        <w:pStyle w:val="Rubrik4"/>
      </w:pPr>
      <w:r>
        <w:lastRenderedPageBreak/>
        <w:t>Social hållbarhet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140"/>
        <w:gridCol w:w="66"/>
        <w:gridCol w:w="66"/>
        <w:gridCol w:w="66"/>
        <w:gridCol w:w="603"/>
        <w:gridCol w:w="603"/>
        <w:gridCol w:w="618"/>
      </w:tblGrid>
      <w:tr w:rsidR="00DF47C2" w:rsidTr="00DF47C2">
        <w:trPr>
          <w:tblHeader/>
          <w:tblCellSpacing w:w="15" w:type="dxa"/>
        </w:trPr>
        <w:tc>
          <w:tcPr>
            <w:tcW w:w="0" w:type="auto"/>
            <w:vAlign w:val="center"/>
            <w:hideMark/>
          </w:tcPr>
          <w:p w:rsidR="00DF47C2" w:rsidRDefault="00DF47C2">
            <w:pPr>
              <w:jc w:val="center"/>
              <w:rPr>
                <w:b/>
                <w:bCs/>
                <w:sz w:val="24"/>
                <w:szCs w:val="24"/>
              </w:rPr>
            </w:pPr>
          </w:p>
        </w:tc>
        <w:tc>
          <w:tcPr>
            <w:tcW w:w="0" w:type="auto"/>
            <w:vAlign w:val="center"/>
            <w:hideMark/>
          </w:tcPr>
          <w:p w:rsidR="00DF47C2" w:rsidRDefault="00DF47C2">
            <w:pPr>
              <w:jc w:val="center"/>
              <w:rPr>
                <w:b/>
                <w:bCs/>
                <w:sz w:val="24"/>
                <w:szCs w:val="24"/>
              </w:rPr>
            </w:pPr>
          </w:p>
        </w:tc>
        <w:tc>
          <w:tcPr>
            <w:tcW w:w="0" w:type="auto"/>
            <w:vAlign w:val="center"/>
            <w:hideMark/>
          </w:tcPr>
          <w:p w:rsidR="00DF47C2" w:rsidRDefault="00DF47C2">
            <w:pPr>
              <w:jc w:val="center"/>
              <w:rPr>
                <w:b/>
                <w:bCs/>
                <w:sz w:val="24"/>
                <w:szCs w:val="24"/>
              </w:rPr>
            </w:pPr>
          </w:p>
        </w:tc>
        <w:tc>
          <w:tcPr>
            <w:tcW w:w="0" w:type="auto"/>
            <w:vAlign w:val="center"/>
            <w:hideMark/>
          </w:tcPr>
          <w:p w:rsidR="00DF47C2" w:rsidRDefault="00DF47C2">
            <w:pPr>
              <w:jc w:val="center"/>
              <w:rPr>
                <w:b/>
                <w:bCs/>
                <w:sz w:val="24"/>
                <w:szCs w:val="24"/>
              </w:rPr>
            </w:pPr>
          </w:p>
        </w:tc>
        <w:tc>
          <w:tcPr>
            <w:tcW w:w="0" w:type="auto"/>
            <w:vAlign w:val="center"/>
            <w:hideMark/>
          </w:tcPr>
          <w:p w:rsidR="00DF47C2" w:rsidRDefault="00DF47C2">
            <w:pPr>
              <w:jc w:val="center"/>
              <w:rPr>
                <w:b/>
                <w:bCs/>
                <w:sz w:val="24"/>
                <w:szCs w:val="24"/>
              </w:rPr>
            </w:pPr>
            <w:r>
              <w:rPr>
                <w:b/>
                <w:bCs/>
              </w:rPr>
              <w:t>2012</w:t>
            </w:r>
          </w:p>
        </w:tc>
        <w:tc>
          <w:tcPr>
            <w:tcW w:w="0" w:type="auto"/>
            <w:vAlign w:val="center"/>
            <w:hideMark/>
          </w:tcPr>
          <w:p w:rsidR="00DF47C2" w:rsidRDefault="00DF47C2">
            <w:pPr>
              <w:jc w:val="center"/>
              <w:rPr>
                <w:b/>
                <w:bCs/>
                <w:sz w:val="24"/>
                <w:szCs w:val="24"/>
              </w:rPr>
            </w:pPr>
            <w:r>
              <w:rPr>
                <w:b/>
                <w:bCs/>
              </w:rPr>
              <w:t>2013</w:t>
            </w:r>
          </w:p>
        </w:tc>
        <w:tc>
          <w:tcPr>
            <w:tcW w:w="0" w:type="auto"/>
            <w:vAlign w:val="center"/>
            <w:hideMark/>
          </w:tcPr>
          <w:p w:rsidR="00DF47C2" w:rsidRDefault="00DF47C2">
            <w:pPr>
              <w:jc w:val="center"/>
              <w:rPr>
                <w:b/>
                <w:bCs/>
                <w:sz w:val="24"/>
                <w:szCs w:val="24"/>
              </w:rPr>
            </w:pPr>
            <w:r>
              <w:rPr>
                <w:b/>
                <w:bCs/>
              </w:rPr>
              <w:t>2014</w:t>
            </w:r>
          </w:p>
        </w:tc>
      </w:tr>
      <w:tr w:rsidR="00DF47C2" w:rsidTr="00DF47C2">
        <w:trPr>
          <w:tblCellSpacing w:w="15" w:type="dxa"/>
        </w:trPr>
        <w:tc>
          <w:tcPr>
            <w:tcW w:w="0" w:type="auto"/>
            <w:gridSpan w:val="7"/>
            <w:vAlign w:val="center"/>
            <w:hideMark/>
          </w:tcPr>
          <w:p w:rsidR="00DF47C2" w:rsidRDefault="00DF47C2">
            <w:pPr>
              <w:rPr>
                <w:sz w:val="24"/>
                <w:szCs w:val="24"/>
              </w:rPr>
            </w:pPr>
            <w:r>
              <w:t xml:space="preserve">Hälsa </w:t>
            </w:r>
          </w:p>
        </w:tc>
      </w:tr>
      <w:tr w:rsidR="00DF47C2" w:rsidTr="00DF47C2">
        <w:trPr>
          <w:tblCellSpacing w:w="15" w:type="dxa"/>
        </w:trPr>
        <w:tc>
          <w:tcPr>
            <w:tcW w:w="0" w:type="auto"/>
            <w:vAlign w:val="center"/>
            <w:hideMark/>
          </w:tcPr>
          <w:p w:rsidR="00DF47C2" w:rsidRDefault="00DF47C2">
            <w:pPr>
              <w:rPr>
                <w:sz w:val="24"/>
                <w:szCs w:val="24"/>
              </w:rPr>
            </w:pPr>
            <w:r>
              <w:t xml:space="preserve">Återstående medellivslängd vid födseln (män) kommun, år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81.2 </w:t>
            </w:r>
          </w:p>
        </w:tc>
        <w:tc>
          <w:tcPr>
            <w:tcW w:w="0" w:type="auto"/>
            <w:vAlign w:val="center"/>
            <w:hideMark/>
          </w:tcPr>
          <w:p w:rsidR="00DF47C2" w:rsidRDefault="00DF47C2">
            <w:pPr>
              <w:rPr>
                <w:sz w:val="24"/>
                <w:szCs w:val="24"/>
              </w:rPr>
            </w:pPr>
            <w:r>
              <w:t xml:space="preserve">81.3 </w:t>
            </w:r>
          </w:p>
        </w:tc>
        <w:tc>
          <w:tcPr>
            <w:tcW w:w="0" w:type="auto"/>
            <w:vAlign w:val="center"/>
            <w:hideMark/>
          </w:tcPr>
          <w:p w:rsidR="00DF47C2" w:rsidRDefault="00DF47C2">
            <w:pPr>
              <w:rPr>
                <w:sz w:val="24"/>
                <w:szCs w:val="24"/>
              </w:rPr>
            </w:pPr>
            <w:r>
              <w:t xml:space="preserve">81.5 </w:t>
            </w:r>
          </w:p>
        </w:tc>
      </w:tr>
      <w:tr w:rsidR="00DF47C2" w:rsidTr="00DF47C2">
        <w:trPr>
          <w:tblCellSpacing w:w="15" w:type="dxa"/>
        </w:trPr>
        <w:tc>
          <w:tcPr>
            <w:tcW w:w="0" w:type="auto"/>
            <w:vAlign w:val="center"/>
            <w:hideMark/>
          </w:tcPr>
          <w:p w:rsidR="00DF47C2" w:rsidRDefault="00DF47C2">
            <w:pPr>
              <w:rPr>
                <w:sz w:val="24"/>
                <w:szCs w:val="24"/>
              </w:rPr>
            </w:pPr>
            <w:r>
              <w:t xml:space="preserve">Återstående medellivslängd vid födseln (kvinnor) kommun, år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84.4 </w:t>
            </w:r>
          </w:p>
        </w:tc>
        <w:tc>
          <w:tcPr>
            <w:tcW w:w="0" w:type="auto"/>
            <w:vAlign w:val="center"/>
            <w:hideMark/>
          </w:tcPr>
          <w:p w:rsidR="00DF47C2" w:rsidRDefault="00DF47C2">
            <w:pPr>
              <w:rPr>
                <w:sz w:val="24"/>
                <w:szCs w:val="24"/>
              </w:rPr>
            </w:pPr>
            <w:r>
              <w:t xml:space="preserve">84.3 </w:t>
            </w:r>
          </w:p>
        </w:tc>
        <w:tc>
          <w:tcPr>
            <w:tcW w:w="0" w:type="auto"/>
            <w:vAlign w:val="center"/>
            <w:hideMark/>
          </w:tcPr>
          <w:p w:rsidR="00DF47C2" w:rsidRDefault="00DF47C2">
            <w:pPr>
              <w:rPr>
                <w:sz w:val="24"/>
                <w:szCs w:val="24"/>
              </w:rPr>
            </w:pPr>
            <w:r>
              <w:t xml:space="preserve">84.6 </w:t>
            </w:r>
          </w:p>
        </w:tc>
      </w:tr>
      <w:tr w:rsidR="00DF47C2" w:rsidTr="00DF47C2">
        <w:trPr>
          <w:tblCellSpacing w:w="15" w:type="dxa"/>
        </w:trPr>
        <w:tc>
          <w:tcPr>
            <w:tcW w:w="0" w:type="auto"/>
            <w:vAlign w:val="center"/>
            <w:hideMark/>
          </w:tcPr>
          <w:p w:rsidR="00DF47C2" w:rsidRDefault="00DF47C2">
            <w:pPr>
              <w:rPr>
                <w:sz w:val="24"/>
                <w:szCs w:val="24"/>
              </w:rPr>
            </w:pPr>
            <w:r>
              <w:t xml:space="preserve">Invånare 16-84 år med bra självskattat hälsotillstånd kommun, andel (%)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73 </w:t>
            </w:r>
          </w:p>
        </w:tc>
        <w:tc>
          <w:tcPr>
            <w:tcW w:w="0" w:type="auto"/>
            <w:vAlign w:val="center"/>
            <w:hideMark/>
          </w:tcPr>
          <w:p w:rsidR="00DF47C2" w:rsidRDefault="00DF47C2">
            <w:pPr>
              <w:rPr>
                <w:sz w:val="24"/>
                <w:szCs w:val="24"/>
              </w:rPr>
            </w:pPr>
            <w:r>
              <w:t xml:space="preserve">74 </w:t>
            </w:r>
          </w:p>
        </w:tc>
        <w:tc>
          <w:tcPr>
            <w:tcW w:w="0" w:type="auto"/>
            <w:vAlign w:val="center"/>
            <w:hideMark/>
          </w:tcPr>
          <w:p w:rsidR="00DF47C2" w:rsidRDefault="00DF47C2">
            <w:pPr>
              <w:rPr>
                <w:sz w:val="24"/>
                <w:szCs w:val="24"/>
              </w:rPr>
            </w:pPr>
            <w:r>
              <w:t xml:space="preserve">76 </w:t>
            </w:r>
          </w:p>
        </w:tc>
      </w:tr>
      <w:tr w:rsidR="00DF47C2" w:rsidTr="00DF47C2">
        <w:trPr>
          <w:tblCellSpacing w:w="15" w:type="dxa"/>
        </w:trPr>
        <w:tc>
          <w:tcPr>
            <w:tcW w:w="0" w:type="auto"/>
            <w:gridSpan w:val="7"/>
            <w:vAlign w:val="center"/>
            <w:hideMark/>
          </w:tcPr>
          <w:p w:rsidR="00DF47C2" w:rsidRDefault="00DF47C2">
            <w:pPr>
              <w:rPr>
                <w:sz w:val="24"/>
                <w:szCs w:val="24"/>
              </w:rPr>
            </w:pPr>
            <w:r>
              <w:t xml:space="preserve">Trygghet </w:t>
            </w:r>
          </w:p>
        </w:tc>
      </w:tr>
      <w:tr w:rsidR="00DF47C2" w:rsidTr="00DF47C2">
        <w:trPr>
          <w:tblCellSpacing w:w="15" w:type="dxa"/>
        </w:trPr>
        <w:tc>
          <w:tcPr>
            <w:tcW w:w="0" w:type="auto"/>
            <w:vAlign w:val="center"/>
            <w:hideMark/>
          </w:tcPr>
          <w:p w:rsidR="00DF47C2" w:rsidRDefault="00DF47C2">
            <w:pPr>
              <w:rPr>
                <w:sz w:val="24"/>
                <w:szCs w:val="24"/>
              </w:rPr>
            </w:pPr>
            <w:r>
              <w:t xml:space="preserve">Anmälda våldsbrott i kommunen, antal/100 000 </w:t>
            </w:r>
            <w:proofErr w:type="spellStart"/>
            <w:r>
              <w:t>inv</w:t>
            </w:r>
            <w:proofErr w:type="spellEnd"/>
            <w:r>
              <w:t xml:space="preserve">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913 </w:t>
            </w:r>
          </w:p>
        </w:tc>
        <w:tc>
          <w:tcPr>
            <w:tcW w:w="0" w:type="auto"/>
            <w:vAlign w:val="center"/>
            <w:hideMark/>
          </w:tcPr>
          <w:p w:rsidR="00DF47C2" w:rsidRDefault="00DF47C2">
            <w:pPr>
              <w:rPr>
                <w:sz w:val="24"/>
                <w:szCs w:val="24"/>
              </w:rPr>
            </w:pPr>
            <w:r>
              <w:t xml:space="preserve">944 </w:t>
            </w:r>
          </w:p>
        </w:tc>
        <w:tc>
          <w:tcPr>
            <w:tcW w:w="0" w:type="auto"/>
            <w:vAlign w:val="center"/>
            <w:hideMark/>
          </w:tcPr>
          <w:p w:rsidR="00DF47C2" w:rsidRDefault="00DF47C2">
            <w:pPr>
              <w:rPr>
                <w:sz w:val="24"/>
                <w:szCs w:val="24"/>
              </w:rPr>
            </w:pPr>
            <w:r>
              <w:t xml:space="preserve">900 </w:t>
            </w:r>
          </w:p>
        </w:tc>
      </w:tr>
      <w:tr w:rsidR="00DF47C2" w:rsidTr="00DF47C2">
        <w:trPr>
          <w:tblCellSpacing w:w="15" w:type="dxa"/>
        </w:trPr>
        <w:tc>
          <w:tcPr>
            <w:tcW w:w="0" w:type="auto"/>
            <w:vAlign w:val="center"/>
            <w:hideMark/>
          </w:tcPr>
          <w:p w:rsidR="00DF47C2" w:rsidRDefault="00DF47C2">
            <w:pPr>
              <w:rPr>
                <w:sz w:val="24"/>
                <w:szCs w:val="24"/>
              </w:rPr>
            </w:pPr>
            <w:r>
              <w:t xml:space="preserve">Invånare 16-84 år med låg tillit till andra, andel (%)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25 </w:t>
            </w:r>
          </w:p>
        </w:tc>
        <w:tc>
          <w:tcPr>
            <w:tcW w:w="0" w:type="auto"/>
            <w:vAlign w:val="center"/>
            <w:hideMark/>
          </w:tcPr>
          <w:p w:rsidR="00DF47C2" w:rsidRDefault="00DF47C2">
            <w:pPr>
              <w:rPr>
                <w:sz w:val="24"/>
                <w:szCs w:val="24"/>
              </w:rPr>
            </w:pPr>
            <w:r>
              <w:t xml:space="preserve">25 </w:t>
            </w:r>
          </w:p>
        </w:tc>
        <w:tc>
          <w:tcPr>
            <w:tcW w:w="0" w:type="auto"/>
            <w:vAlign w:val="center"/>
            <w:hideMark/>
          </w:tcPr>
          <w:p w:rsidR="00DF47C2" w:rsidRDefault="00DF47C2">
            <w:pPr>
              <w:rPr>
                <w:sz w:val="24"/>
                <w:szCs w:val="24"/>
              </w:rPr>
            </w:pPr>
            <w:r>
              <w:t xml:space="preserve">23 </w:t>
            </w:r>
          </w:p>
        </w:tc>
      </w:tr>
      <w:tr w:rsidR="00DF47C2" w:rsidTr="00DF47C2">
        <w:trPr>
          <w:tblCellSpacing w:w="15" w:type="dxa"/>
        </w:trPr>
        <w:tc>
          <w:tcPr>
            <w:tcW w:w="0" w:type="auto"/>
            <w:gridSpan w:val="7"/>
            <w:vAlign w:val="center"/>
            <w:hideMark/>
          </w:tcPr>
          <w:p w:rsidR="00DF47C2" w:rsidRDefault="00DF47C2">
            <w:pPr>
              <w:rPr>
                <w:sz w:val="24"/>
                <w:szCs w:val="24"/>
              </w:rPr>
            </w:pPr>
            <w:r>
              <w:t xml:space="preserve">Delaktighet och inflytande </w:t>
            </w:r>
          </w:p>
        </w:tc>
      </w:tr>
      <w:tr w:rsidR="00DF47C2" w:rsidTr="00DF47C2">
        <w:trPr>
          <w:tblCellSpacing w:w="15" w:type="dxa"/>
        </w:trPr>
        <w:tc>
          <w:tcPr>
            <w:tcW w:w="0" w:type="auto"/>
            <w:vAlign w:val="center"/>
            <w:hideMark/>
          </w:tcPr>
          <w:p w:rsidR="00DF47C2" w:rsidRDefault="00DF47C2">
            <w:pPr>
              <w:rPr>
                <w:sz w:val="24"/>
                <w:szCs w:val="24"/>
              </w:rPr>
            </w:pPr>
            <w:r>
              <w:t xml:space="preserve">Hushåll med ekonomiskt bistånd som erhållit bistånd i 10-12 månader under året, andel (%)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33.4 </w:t>
            </w:r>
          </w:p>
        </w:tc>
        <w:tc>
          <w:tcPr>
            <w:tcW w:w="0" w:type="auto"/>
            <w:vAlign w:val="center"/>
            <w:hideMark/>
          </w:tcPr>
          <w:p w:rsidR="00DF47C2" w:rsidRDefault="00DF47C2">
            <w:pPr>
              <w:rPr>
                <w:sz w:val="24"/>
                <w:szCs w:val="24"/>
              </w:rPr>
            </w:pPr>
            <w:r>
              <w:t xml:space="preserve">31.5 </w:t>
            </w:r>
          </w:p>
        </w:tc>
        <w:tc>
          <w:tcPr>
            <w:tcW w:w="0" w:type="auto"/>
            <w:vAlign w:val="center"/>
            <w:hideMark/>
          </w:tcPr>
          <w:p w:rsidR="00DF47C2" w:rsidRDefault="00DF47C2">
            <w:pPr>
              <w:rPr>
                <w:sz w:val="24"/>
                <w:szCs w:val="24"/>
              </w:rPr>
            </w:pPr>
            <w:r>
              <w:t xml:space="preserve">30.1 </w:t>
            </w:r>
          </w:p>
        </w:tc>
      </w:tr>
      <w:tr w:rsidR="00DF47C2" w:rsidTr="00DF47C2">
        <w:trPr>
          <w:tblCellSpacing w:w="15" w:type="dxa"/>
        </w:trPr>
        <w:tc>
          <w:tcPr>
            <w:tcW w:w="0" w:type="auto"/>
            <w:vAlign w:val="center"/>
            <w:hideMark/>
          </w:tcPr>
          <w:p w:rsidR="00DF47C2" w:rsidRDefault="00DF47C2">
            <w:pPr>
              <w:rPr>
                <w:sz w:val="24"/>
                <w:szCs w:val="24"/>
              </w:rPr>
            </w:pPr>
            <w:r>
              <w:t xml:space="preserve">Invånare 0-19 år i ekonomiskt utsatta familjer, andel (%)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12.2 </w:t>
            </w:r>
          </w:p>
        </w:tc>
        <w:tc>
          <w:tcPr>
            <w:tcW w:w="0" w:type="auto"/>
            <w:vAlign w:val="center"/>
            <w:hideMark/>
          </w:tcPr>
          <w:p w:rsidR="00DF47C2" w:rsidRDefault="00DF47C2">
            <w:pPr>
              <w:rPr>
                <w:sz w:val="24"/>
                <w:szCs w:val="24"/>
              </w:rPr>
            </w:pPr>
            <w:r>
              <w:t xml:space="preserve">13.2 </w:t>
            </w:r>
          </w:p>
        </w:tc>
        <w:tc>
          <w:tcPr>
            <w:tcW w:w="0" w:type="auto"/>
            <w:vAlign w:val="center"/>
            <w:hideMark/>
          </w:tcPr>
          <w:p w:rsidR="00DF47C2" w:rsidRDefault="00DF47C2">
            <w:pPr>
              <w:rPr>
                <w:sz w:val="24"/>
                <w:szCs w:val="24"/>
              </w:rPr>
            </w:pPr>
          </w:p>
        </w:tc>
      </w:tr>
      <w:tr w:rsidR="00DF47C2" w:rsidTr="00DF47C2">
        <w:trPr>
          <w:tblCellSpacing w:w="15" w:type="dxa"/>
        </w:trPr>
        <w:tc>
          <w:tcPr>
            <w:tcW w:w="0" w:type="auto"/>
            <w:vAlign w:val="center"/>
            <w:hideMark/>
          </w:tcPr>
          <w:p w:rsidR="00DF47C2" w:rsidRDefault="00DF47C2">
            <w:pPr>
              <w:rPr>
                <w:sz w:val="24"/>
                <w:szCs w:val="24"/>
              </w:rPr>
            </w:pPr>
            <w:r>
              <w:t xml:space="preserve">Långtidsarbetslöshet 25-64 år i kommunen, andel (%) av </w:t>
            </w:r>
            <w:proofErr w:type="spellStart"/>
            <w:r>
              <w:t>bef</w:t>
            </w:r>
            <w:proofErr w:type="spellEnd"/>
            <w:r>
              <w:t xml:space="preserve">.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4.7 </w:t>
            </w:r>
          </w:p>
        </w:tc>
        <w:tc>
          <w:tcPr>
            <w:tcW w:w="0" w:type="auto"/>
            <w:vAlign w:val="center"/>
            <w:hideMark/>
          </w:tcPr>
          <w:p w:rsidR="00DF47C2" w:rsidRDefault="00DF47C2">
            <w:pPr>
              <w:rPr>
                <w:sz w:val="24"/>
                <w:szCs w:val="24"/>
              </w:rPr>
            </w:pPr>
            <w:r>
              <w:t xml:space="preserve">5.1 </w:t>
            </w:r>
          </w:p>
        </w:tc>
        <w:tc>
          <w:tcPr>
            <w:tcW w:w="0" w:type="auto"/>
            <w:vAlign w:val="center"/>
            <w:hideMark/>
          </w:tcPr>
          <w:p w:rsidR="00DF47C2" w:rsidRDefault="00DF47C2">
            <w:pPr>
              <w:rPr>
                <w:sz w:val="24"/>
                <w:szCs w:val="24"/>
              </w:rPr>
            </w:pPr>
            <w:r>
              <w:t xml:space="preserve">4.7 </w:t>
            </w:r>
          </w:p>
        </w:tc>
      </w:tr>
      <w:tr w:rsidR="00DF47C2" w:rsidTr="00DF47C2">
        <w:trPr>
          <w:tblCellSpacing w:w="15" w:type="dxa"/>
        </w:trPr>
        <w:tc>
          <w:tcPr>
            <w:tcW w:w="0" w:type="auto"/>
            <w:vAlign w:val="center"/>
            <w:hideMark/>
          </w:tcPr>
          <w:p w:rsidR="00DF47C2" w:rsidRDefault="00DF47C2">
            <w:pPr>
              <w:rPr>
                <w:sz w:val="24"/>
                <w:szCs w:val="24"/>
              </w:rPr>
            </w:pPr>
            <w:r>
              <w:t xml:space="preserve">Valdeltagande i senaste kommunvalet, (%)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83.9 </w:t>
            </w:r>
          </w:p>
        </w:tc>
        <w:tc>
          <w:tcPr>
            <w:tcW w:w="0" w:type="auto"/>
            <w:vAlign w:val="center"/>
            <w:hideMark/>
          </w:tcPr>
          <w:p w:rsidR="00DF47C2" w:rsidRDefault="00DF47C2">
            <w:pPr>
              <w:rPr>
                <w:sz w:val="24"/>
                <w:szCs w:val="24"/>
              </w:rPr>
            </w:pPr>
            <w:r>
              <w:t xml:space="preserve">83.9 </w:t>
            </w:r>
          </w:p>
        </w:tc>
        <w:tc>
          <w:tcPr>
            <w:tcW w:w="0" w:type="auto"/>
            <w:vAlign w:val="center"/>
            <w:hideMark/>
          </w:tcPr>
          <w:p w:rsidR="00DF47C2" w:rsidRDefault="00DF47C2">
            <w:pPr>
              <w:rPr>
                <w:sz w:val="24"/>
                <w:szCs w:val="24"/>
              </w:rPr>
            </w:pPr>
            <w:r>
              <w:t xml:space="preserve">85.4 </w:t>
            </w:r>
          </w:p>
        </w:tc>
      </w:tr>
      <w:tr w:rsidR="00DF47C2" w:rsidTr="00DF47C2">
        <w:trPr>
          <w:tblCellSpacing w:w="15" w:type="dxa"/>
        </w:trPr>
        <w:tc>
          <w:tcPr>
            <w:tcW w:w="0" w:type="auto"/>
            <w:gridSpan w:val="7"/>
            <w:vAlign w:val="center"/>
            <w:hideMark/>
          </w:tcPr>
          <w:p w:rsidR="00DF47C2" w:rsidRDefault="00DF47C2">
            <w:pPr>
              <w:rPr>
                <w:sz w:val="24"/>
                <w:szCs w:val="24"/>
              </w:rPr>
            </w:pPr>
            <w:r>
              <w:t xml:space="preserve">Jämställdhet </w:t>
            </w:r>
          </w:p>
        </w:tc>
      </w:tr>
      <w:tr w:rsidR="00DF47C2" w:rsidTr="00DF47C2">
        <w:trPr>
          <w:tblCellSpacing w:w="15" w:type="dxa"/>
        </w:trPr>
        <w:tc>
          <w:tcPr>
            <w:tcW w:w="0" w:type="auto"/>
            <w:vAlign w:val="center"/>
            <w:hideMark/>
          </w:tcPr>
          <w:p w:rsidR="00DF47C2" w:rsidRDefault="00DF47C2">
            <w:pPr>
              <w:rPr>
                <w:sz w:val="24"/>
                <w:szCs w:val="24"/>
              </w:rPr>
            </w:pPr>
            <w:r>
              <w:t xml:space="preserve">Lönegap median kvinnor - median män anställda av kommunen, kr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roofErr w:type="gramStart"/>
            <w:r>
              <w:t>-</w:t>
            </w:r>
            <w:proofErr w:type="gramEnd"/>
            <w:r>
              <w:t xml:space="preserve">1 237 </w:t>
            </w:r>
          </w:p>
        </w:tc>
        <w:tc>
          <w:tcPr>
            <w:tcW w:w="0" w:type="auto"/>
            <w:vAlign w:val="center"/>
            <w:hideMark/>
          </w:tcPr>
          <w:p w:rsidR="00DF47C2" w:rsidRDefault="00DF47C2">
            <w:pPr>
              <w:rPr>
                <w:sz w:val="24"/>
                <w:szCs w:val="24"/>
              </w:rPr>
            </w:pPr>
            <w:proofErr w:type="gramStart"/>
            <w:r>
              <w:t>-</w:t>
            </w:r>
            <w:proofErr w:type="gramEnd"/>
            <w:r>
              <w:t xml:space="preserve">1 034 </w:t>
            </w:r>
          </w:p>
        </w:tc>
        <w:tc>
          <w:tcPr>
            <w:tcW w:w="0" w:type="auto"/>
            <w:vAlign w:val="center"/>
            <w:hideMark/>
          </w:tcPr>
          <w:p w:rsidR="00DF47C2" w:rsidRDefault="00DF47C2">
            <w:pPr>
              <w:rPr>
                <w:sz w:val="24"/>
                <w:szCs w:val="24"/>
              </w:rPr>
            </w:pPr>
            <w:proofErr w:type="gramStart"/>
            <w:r>
              <w:t>-</w:t>
            </w:r>
            <w:proofErr w:type="gramEnd"/>
            <w:r>
              <w:t xml:space="preserve">1 010 </w:t>
            </w:r>
          </w:p>
        </w:tc>
      </w:tr>
      <w:tr w:rsidR="00DF47C2" w:rsidTr="00DF47C2">
        <w:trPr>
          <w:tblCellSpacing w:w="15" w:type="dxa"/>
        </w:trPr>
        <w:tc>
          <w:tcPr>
            <w:tcW w:w="0" w:type="auto"/>
            <w:gridSpan w:val="7"/>
            <w:vAlign w:val="center"/>
            <w:hideMark/>
          </w:tcPr>
          <w:p w:rsidR="00DF47C2" w:rsidRDefault="00DF47C2">
            <w:pPr>
              <w:rPr>
                <w:sz w:val="24"/>
                <w:szCs w:val="24"/>
              </w:rPr>
            </w:pPr>
            <w:r>
              <w:t xml:space="preserve">Grundläggande utbildning </w:t>
            </w:r>
          </w:p>
        </w:tc>
      </w:tr>
      <w:tr w:rsidR="00DF47C2" w:rsidTr="00DF47C2">
        <w:trPr>
          <w:tblCellSpacing w:w="15" w:type="dxa"/>
        </w:trPr>
        <w:tc>
          <w:tcPr>
            <w:tcW w:w="0" w:type="auto"/>
            <w:vAlign w:val="center"/>
            <w:hideMark/>
          </w:tcPr>
          <w:p w:rsidR="00DF47C2" w:rsidRDefault="00DF47C2">
            <w:pPr>
              <w:rPr>
                <w:sz w:val="24"/>
                <w:szCs w:val="24"/>
              </w:rPr>
            </w:pPr>
            <w:r>
              <w:t xml:space="preserve">Elever i åk. 9 som är behöriga till ett yrkesprogram, hemkommun, andel (%)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87.9 </w:t>
            </w:r>
          </w:p>
        </w:tc>
        <w:tc>
          <w:tcPr>
            <w:tcW w:w="0" w:type="auto"/>
            <w:vAlign w:val="center"/>
            <w:hideMark/>
          </w:tcPr>
          <w:p w:rsidR="00DF47C2" w:rsidRDefault="00DF47C2">
            <w:pPr>
              <w:rPr>
                <w:sz w:val="24"/>
                <w:szCs w:val="24"/>
              </w:rPr>
            </w:pPr>
            <w:r>
              <w:t xml:space="preserve">89.0 </w:t>
            </w:r>
          </w:p>
        </w:tc>
        <w:tc>
          <w:tcPr>
            <w:tcW w:w="0" w:type="auto"/>
            <w:vAlign w:val="center"/>
            <w:hideMark/>
          </w:tcPr>
          <w:p w:rsidR="00DF47C2" w:rsidRDefault="00DF47C2">
            <w:pPr>
              <w:rPr>
                <w:sz w:val="24"/>
                <w:szCs w:val="24"/>
              </w:rPr>
            </w:pPr>
            <w:r>
              <w:t xml:space="preserve">87.4 </w:t>
            </w:r>
          </w:p>
        </w:tc>
      </w:tr>
      <w:tr w:rsidR="00DF47C2" w:rsidTr="00DF47C2">
        <w:trPr>
          <w:tblCellSpacing w:w="15" w:type="dxa"/>
        </w:trPr>
        <w:tc>
          <w:tcPr>
            <w:tcW w:w="0" w:type="auto"/>
            <w:vAlign w:val="center"/>
            <w:hideMark/>
          </w:tcPr>
          <w:p w:rsidR="00DF47C2" w:rsidRDefault="00DF47C2">
            <w:pPr>
              <w:rPr>
                <w:sz w:val="24"/>
                <w:szCs w:val="24"/>
              </w:rPr>
            </w:pPr>
            <w:r>
              <w:t xml:space="preserve">Gymnasieelever som fullföljer sin utbildning inom 4 år, inkl. IV, andel (%) (-2014) </w:t>
            </w: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p>
        </w:tc>
        <w:tc>
          <w:tcPr>
            <w:tcW w:w="0" w:type="auto"/>
            <w:vAlign w:val="center"/>
            <w:hideMark/>
          </w:tcPr>
          <w:p w:rsidR="00DF47C2" w:rsidRDefault="00DF47C2">
            <w:pPr>
              <w:rPr>
                <w:sz w:val="24"/>
                <w:szCs w:val="24"/>
              </w:rPr>
            </w:pPr>
            <w:r>
              <w:t xml:space="preserve">82.4 </w:t>
            </w:r>
          </w:p>
        </w:tc>
        <w:tc>
          <w:tcPr>
            <w:tcW w:w="0" w:type="auto"/>
            <w:vAlign w:val="center"/>
            <w:hideMark/>
          </w:tcPr>
          <w:p w:rsidR="00DF47C2" w:rsidRDefault="00DF47C2">
            <w:pPr>
              <w:rPr>
                <w:sz w:val="24"/>
                <w:szCs w:val="24"/>
              </w:rPr>
            </w:pPr>
            <w:r>
              <w:t xml:space="preserve">80.8 </w:t>
            </w:r>
          </w:p>
        </w:tc>
        <w:tc>
          <w:tcPr>
            <w:tcW w:w="0" w:type="auto"/>
            <w:vAlign w:val="center"/>
            <w:hideMark/>
          </w:tcPr>
          <w:p w:rsidR="00DF47C2" w:rsidRDefault="00DF47C2">
            <w:pPr>
              <w:rPr>
                <w:sz w:val="24"/>
                <w:szCs w:val="24"/>
              </w:rPr>
            </w:pPr>
            <w:r>
              <w:t xml:space="preserve">80.6 </w:t>
            </w:r>
          </w:p>
        </w:tc>
      </w:tr>
    </w:tbl>
    <w:p w:rsidR="005A6891" w:rsidRDefault="005A6891"/>
    <w:p w:rsidR="00444BB7" w:rsidRDefault="00444BB7">
      <w:r>
        <w:t>Rikskonferens om existentiell hälsa i Västerås i år</w:t>
      </w:r>
    </w:p>
    <w:p w:rsidR="00444BB7" w:rsidRDefault="00444BB7"/>
    <w:p w:rsidR="00C41944" w:rsidRDefault="00C41944"/>
    <w:p w:rsidR="00C41944" w:rsidRDefault="00C41944"/>
    <w:p w:rsidR="00C41944" w:rsidRDefault="00C41944" w:rsidP="00C41944">
      <w:pPr>
        <w:pStyle w:val="Rubrik1"/>
      </w:pPr>
      <w:bookmarkStart w:id="0" w:name="_GoBack"/>
      <w:bookmarkEnd w:id="0"/>
      <w:r>
        <w:lastRenderedPageBreak/>
        <w:t>Vi måste hantera livsfrågor bättre</w:t>
      </w:r>
    </w:p>
    <w:p w:rsidR="00C41944" w:rsidRDefault="00C41944" w:rsidP="00C41944">
      <w:pPr>
        <w:pStyle w:val="Rubrik2"/>
      </w:pPr>
      <w:r>
        <w:t>Biskop: Gör existentiell hälsa till en del av folkhälsoarbetet</w:t>
      </w:r>
    </w:p>
    <w:p w:rsidR="00C41944" w:rsidRPr="00632704" w:rsidRDefault="00C41944" w:rsidP="00C41944">
      <w:pPr>
        <w:rPr>
          <w:sz w:val="18"/>
          <w:szCs w:val="18"/>
        </w:rPr>
      </w:pPr>
      <w:hyperlink r:id="rId6" w:history="1">
        <w:r w:rsidRPr="00632704">
          <w:rPr>
            <w:rStyle w:val="abiconcircleplus"/>
            <w:color w:val="0000FF"/>
            <w:sz w:val="18"/>
            <w:szCs w:val="18"/>
            <w:u w:val="single"/>
          </w:rPr>
          <w:t> </w:t>
        </w:r>
      </w:hyperlink>
      <w:r w:rsidRPr="00632704">
        <w:rPr>
          <w:rStyle w:val="abimagecaption"/>
          <w:sz w:val="18"/>
          <w:szCs w:val="18"/>
        </w:rPr>
        <w:t xml:space="preserve"> Biskop Fredrik </w:t>
      </w:r>
      <w:proofErr w:type="spellStart"/>
      <w:r w:rsidRPr="00632704">
        <w:rPr>
          <w:rStyle w:val="abimagecaption"/>
          <w:sz w:val="18"/>
          <w:szCs w:val="18"/>
        </w:rPr>
        <w:t>Modéus</w:t>
      </w:r>
      <w:proofErr w:type="spellEnd"/>
      <w:r w:rsidRPr="00632704">
        <w:rPr>
          <w:rStyle w:val="abimagecaption"/>
          <w:sz w:val="18"/>
          <w:szCs w:val="18"/>
        </w:rPr>
        <w:t xml:space="preserve">, Växjö stift. </w:t>
      </w:r>
    </w:p>
    <w:p w:rsidR="00C41944" w:rsidRPr="00632704" w:rsidRDefault="00C41944" w:rsidP="00C41944">
      <w:pPr>
        <w:pStyle w:val="Normalwebb"/>
        <w:rPr>
          <w:sz w:val="18"/>
          <w:szCs w:val="18"/>
        </w:rPr>
      </w:pPr>
      <w:r w:rsidRPr="00632704">
        <w:rPr>
          <w:sz w:val="18"/>
          <w:szCs w:val="18"/>
        </w:rPr>
        <w:t xml:space="preserve">DEBATT. I dag inleds landets första rikskonferens om existentiell hälsa i Västerås. Ämnet är rykande aktuellt men framstår inte som viktigt för </w:t>
      </w:r>
      <w:hyperlink r:id="rId7" w:history="1">
        <w:r w:rsidRPr="00632704">
          <w:rPr>
            <w:rStyle w:val="Hyperlnk"/>
            <w:sz w:val="18"/>
            <w:szCs w:val="18"/>
          </w:rPr>
          <w:t>Folkhälsomyndigheten</w:t>
        </w:r>
      </w:hyperlink>
      <w:r w:rsidRPr="00632704">
        <w:rPr>
          <w:sz w:val="18"/>
          <w:szCs w:val="18"/>
        </w:rPr>
        <w:t>, som listar elva viktiga målområden för folkhälsans utveckling.</w:t>
      </w:r>
    </w:p>
    <w:p w:rsidR="00C41944" w:rsidRPr="00632704" w:rsidRDefault="00C41944" w:rsidP="00C41944">
      <w:pPr>
        <w:pStyle w:val="Normalwebb"/>
        <w:rPr>
          <w:sz w:val="18"/>
          <w:szCs w:val="18"/>
        </w:rPr>
      </w:pPr>
      <w:r w:rsidRPr="00632704">
        <w:rPr>
          <w:rStyle w:val="Stark"/>
          <w:sz w:val="18"/>
          <w:szCs w:val="18"/>
        </w:rPr>
        <w:t>Det är hög tid att den existentiella hälsan blir ett tolfte målområde. På nationell nivå behöver initiativ tas till nya strukturer som ger människor stöd till sitt existentiella välbefinnande. Vem antar utmaningen?</w:t>
      </w:r>
    </w:p>
    <w:p w:rsidR="00C41944" w:rsidRPr="00632704" w:rsidRDefault="00C41944" w:rsidP="00C41944">
      <w:pPr>
        <w:pStyle w:val="Normalwebb"/>
        <w:rPr>
          <w:sz w:val="18"/>
          <w:szCs w:val="18"/>
        </w:rPr>
      </w:pPr>
      <w:r w:rsidRPr="00632704">
        <w:rPr>
          <w:sz w:val="18"/>
          <w:szCs w:val="18"/>
        </w:rPr>
        <w:t>Trots att frågan om existentiell hälsa är angelägen ligger frågan i debattskugga. Orsaken är den oförmåga att hantera livsfrågor som finns i ett sekulariserat samhälle. I ett fragmentiserat samhällsklimat med högt tempo sätts det samtal som ger tillgång till livets djupdimensioner på undantag. Resultatet blir en existentiell blyghet som lägger sordin på en diskussion som behövs, eftersom de eviga frågorna är just eviga: varför finns jag, vad är min uppgift och hur passar mitt liv in i ett större sammanhang?  </w:t>
      </w:r>
    </w:p>
    <w:p w:rsidR="00C41944" w:rsidRPr="00632704" w:rsidRDefault="00C41944" w:rsidP="00C41944">
      <w:pPr>
        <w:pStyle w:val="Normalwebb"/>
        <w:rPr>
          <w:sz w:val="18"/>
          <w:szCs w:val="18"/>
        </w:rPr>
      </w:pPr>
      <w:r w:rsidRPr="00632704">
        <w:rPr>
          <w:sz w:val="18"/>
          <w:szCs w:val="18"/>
        </w:rPr>
        <w:t>Under den senaste tjugoårsperioden har hälsoforskningsområdet fått upp ögonen för det existentiella välbefinnandet. Allt tydligare visar sig dess påverkan på hälsan och på helhetsupplevelsen av livet. Enligt Folkhälsomyndighetens rapport</w:t>
      </w:r>
      <w:hyperlink r:id="rId8" w:tgtFrame="_blank" w:history="1">
        <w:r w:rsidRPr="00632704">
          <w:rPr>
            <w:rStyle w:val="Hyperlnk"/>
            <w:sz w:val="18"/>
            <w:szCs w:val="18"/>
          </w:rPr>
          <w:t xml:space="preserve"> ”Folkhälsan i Sverige” (2014)</w:t>
        </w:r>
      </w:hyperlink>
      <w:r w:rsidRPr="00632704">
        <w:rPr>
          <w:sz w:val="18"/>
          <w:szCs w:val="18"/>
        </w:rPr>
        <w:t xml:space="preserve"> visar undersökningar att besvär av ängslan, oro och ångest har ökat, i alla fall bland yngre.</w:t>
      </w:r>
    </w:p>
    <w:p w:rsidR="00C41944" w:rsidRPr="00632704" w:rsidRDefault="00C41944" w:rsidP="00C41944">
      <w:pPr>
        <w:pStyle w:val="Normalwebb"/>
        <w:rPr>
          <w:sz w:val="18"/>
          <w:szCs w:val="18"/>
        </w:rPr>
      </w:pPr>
      <w:r w:rsidRPr="00632704">
        <w:rPr>
          <w:rStyle w:val="Stark"/>
          <w:sz w:val="18"/>
          <w:szCs w:val="18"/>
        </w:rPr>
        <w:t>Värst drabbade är unga flickor mellan 16 och 24 år. I denna grupp var enligt SCB:s statistik 2012/2013 andelen med psykiska besvär minst en gång i veckan 27 procent, vilket borde sända kraftiga varningssignaler in i det svenska samhället.</w:t>
      </w:r>
    </w:p>
    <w:p w:rsidR="00C41944" w:rsidRPr="00632704" w:rsidRDefault="00C41944" w:rsidP="00C41944">
      <w:pPr>
        <w:pStyle w:val="Normalwebb"/>
        <w:rPr>
          <w:sz w:val="18"/>
          <w:szCs w:val="18"/>
        </w:rPr>
      </w:pPr>
      <w:r w:rsidRPr="00632704">
        <w:rPr>
          <w:sz w:val="18"/>
          <w:szCs w:val="18"/>
        </w:rPr>
        <w:t xml:space="preserve">Religionspsykologen Cecilia </w:t>
      </w:r>
      <w:proofErr w:type="spellStart"/>
      <w:r w:rsidRPr="00632704">
        <w:rPr>
          <w:sz w:val="18"/>
          <w:szCs w:val="18"/>
        </w:rPr>
        <w:t>Melder</w:t>
      </w:r>
      <w:proofErr w:type="spellEnd"/>
      <w:r w:rsidRPr="00632704">
        <w:rPr>
          <w:sz w:val="18"/>
          <w:szCs w:val="18"/>
        </w:rPr>
        <w:t>, som studerat den existentiella folkhälsan, menar att ohälsan ofta faller utanför klassiska principer för diagnosticering i psykiska och somatiska kategorier. En djupare problematik lyser igenom.</w:t>
      </w:r>
    </w:p>
    <w:p w:rsidR="00C41944" w:rsidRPr="00632704" w:rsidRDefault="00C41944" w:rsidP="00C41944">
      <w:pPr>
        <w:pStyle w:val="Normalwebb"/>
        <w:rPr>
          <w:sz w:val="18"/>
          <w:szCs w:val="18"/>
        </w:rPr>
      </w:pPr>
      <w:r w:rsidRPr="00632704">
        <w:rPr>
          <w:sz w:val="18"/>
          <w:szCs w:val="18"/>
        </w:rPr>
        <w:t xml:space="preserve">Men vad är existentiell hälsa? Världshälsoorganisationen (WHO) nämner åtta dimensioner som kan förstås som byggstenar: hopp, harmoni, helhet, meningsfullhet, förundran, andlig kontakt, personlig tro och gemenskap. Både WHO:s undersökningar och nya forskningsresultat visar att upplevelsen av livsmening och livsmod är avgörande för tolkningen av livet. Den fysiska och psykiska hälsan upplevs med den existentiella hälsan som lins.      </w:t>
      </w:r>
    </w:p>
    <w:p w:rsidR="00C41944" w:rsidRPr="00632704" w:rsidRDefault="00C41944" w:rsidP="00C41944">
      <w:pPr>
        <w:pStyle w:val="Normalwebb"/>
        <w:rPr>
          <w:sz w:val="18"/>
          <w:szCs w:val="18"/>
        </w:rPr>
      </w:pPr>
      <w:r w:rsidRPr="00632704">
        <w:rPr>
          <w:rStyle w:val="Stark"/>
          <w:sz w:val="18"/>
          <w:szCs w:val="18"/>
        </w:rPr>
        <w:t>När forskning nu visar hur central existentiell hälsa är för hur människor mår, är det viktigt att många samverkar i arbetet med vår hälsa. Det måste vara en kollektiv utmaning, där samhällets organ drar sitt strå till stacken utifrån kompetens och kunnande.</w:t>
      </w:r>
    </w:p>
    <w:p w:rsidR="00C41944" w:rsidRPr="00632704" w:rsidRDefault="00C41944" w:rsidP="00C41944">
      <w:pPr>
        <w:pStyle w:val="Normalwebb"/>
        <w:rPr>
          <w:sz w:val="18"/>
          <w:szCs w:val="18"/>
        </w:rPr>
      </w:pPr>
      <w:r w:rsidRPr="00632704">
        <w:rPr>
          <w:sz w:val="18"/>
          <w:szCs w:val="18"/>
        </w:rPr>
        <w:t xml:space="preserve">Det är bra att regeringen satt som mål att de påverkbara hälsoklyftorna ska slutas under en generation, men varför tas inte den existentiella ohälsan på större allvar? Att existentiell hälsa är svåråtkomlig får inte göra att den prioriteras lägre än fysisk och psykisk hälsa.  </w:t>
      </w:r>
    </w:p>
    <w:p w:rsidR="00C41944" w:rsidRPr="00632704" w:rsidRDefault="00C41944" w:rsidP="00C41944">
      <w:pPr>
        <w:pStyle w:val="Normalwebb"/>
        <w:rPr>
          <w:sz w:val="18"/>
          <w:szCs w:val="18"/>
        </w:rPr>
      </w:pPr>
      <w:r w:rsidRPr="00632704">
        <w:rPr>
          <w:sz w:val="18"/>
          <w:szCs w:val="18"/>
        </w:rPr>
        <w:t xml:space="preserve">I det viktiga samverkansarbete kring existentiell hälsa som behövs har kyrkorna bidrag att ge. Kristen tro och religiös övertygelse är inte enda sättet att skapa meningsfullhet i livet, och därmed existentiell hälsa, men är för många av stor betydelse. </w:t>
      </w:r>
      <w:hyperlink r:id="rId9" w:history="1">
        <w:r w:rsidRPr="00632704">
          <w:rPr>
            <w:rStyle w:val="Hyperlnk"/>
            <w:sz w:val="18"/>
            <w:szCs w:val="18"/>
          </w:rPr>
          <w:t>Svenska kyrkan</w:t>
        </w:r>
      </w:hyperlink>
      <w:r w:rsidRPr="00632704">
        <w:rPr>
          <w:sz w:val="18"/>
          <w:szCs w:val="18"/>
        </w:rPr>
        <w:t xml:space="preserve"> är en del av samhällslivet, men trots det en dold resurs i arbetet kring existentiell hälsa. Dess erfarenheter skulle kunna komma bättre till användning om inte rädslan vore så stor för beröringspunkter mellan myndigheter och religion. </w:t>
      </w:r>
    </w:p>
    <w:p w:rsidR="00C41944" w:rsidRPr="00632704" w:rsidRDefault="00C41944" w:rsidP="00C41944">
      <w:pPr>
        <w:pStyle w:val="Normalwebb"/>
        <w:rPr>
          <w:sz w:val="18"/>
          <w:szCs w:val="18"/>
        </w:rPr>
      </w:pPr>
      <w:r w:rsidRPr="00632704">
        <w:rPr>
          <w:sz w:val="18"/>
          <w:szCs w:val="18"/>
        </w:rPr>
        <w:t xml:space="preserve">Ett gott folkhälsoarbete jämställer fysisk, psykisk och existentiell hälsa. Att WHO uppmärksammar det sistnämnda stämmer till eftertanke. Folkhälsomyndigheten bör nu agera modigt genom att göra den existentiella hälsan till ett tolfte prioriterat målområde för folkhälsans utveckling. </w:t>
      </w:r>
    </w:p>
    <w:p w:rsidR="00C41944" w:rsidRPr="00632704" w:rsidRDefault="00C41944" w:rsidP="00C41944">
      <w:pPr>
        <w:pStyle w:val="Normalwebb"/>
        <w:rPr>
          <w:sz w:val="18"/>
          <w:szCs w:val="18"/>
        </w:rPr>
      </w:pPr>
      <w:r w:rsidRPr="00632704">
        <w:rPr>
          <w:sz w:val="18"/>
          <w:szCs w:val="18"/>
        </w:rPr>
        <w:t> </w:t>
      </w:r>
    </w:p>
    <w:p w:rsidR="00C41944" w:rsidRPr="00632704" w:rsidRDefault="00C41944" w:rsidP="00C41944">
      <w:pPr>
        <w:pStyle w:val="Normalwebb"/>
        <w:jc w:val="right"/>
        <w:rPr>
          <w:sz w:val="18"/>
          <w:szCs w:val="18"/>
        </w:rPr>
      </w:pPr>
      <w:r w:rsidRPr="00632704">
        <w:rPr>
          <w:rStyle w:val="Stark"/>
          <w:sz w:val="18"/>
          <w:szCs w:val="18"/>
        </w:rPr>
        <w:t xml:space="preserve">Fredrik </w:t>
      </w:r>
      <w:proofErr w:type="spellStart"/>
      <w:r w:rsidRPr="00632704">
        <w:rPr>
          <w:rStyle w:val="Stark"/>
          <w:sz w:val="18"/>
          <w:szCs w:val="18"/>
        </w:rPr>
        <w:t>Modéus</w:t>
      </w:r>
      <w:proofErr w:type="spellEnd"/>
      <w:r w:rsidRPr="00632704">
        <w:rPr>
          <w:rStyle w:val="Stark"/>
          <w:sz w:val="18"/>
          <w:szCs w:val="18"/>
        </w:rPr>
        <w:t>,</w:t>
      </w:r>
    </w:p>
    <w:p w:rsidR="00C41944" w:rsidRPr="00632704" w:rsidRDefault="00C41944" w:rsidP="00C41944">
      <w:pPr>
        <w:pStyle w:val="Normalwebb"/>
        <w:jc w:val="right"/>
        <w:rPr>
          <w:sz w:val="18"/>
          <w:szCs w:val="18"/>
        </w:rPr>
      </w:pPr>
      <w:r w:rsidRPr="00632704">
        <w:rPr>
          <w:sz w:val="18"/>
          <w:szCs w:val="18"/>
        </w:rPr>
        <w:t>biskop i Växjö stift, teol. dr.</w:t>
      </w:r>
    </w:p>
    <w:p w:rsidR="00C41944" w:rsidRDefault="00C41944"/>
    <w:sectPr w:rsidR="00C419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129"/>
    <w:rsid w:val="00061129"/>
    <w:rsid w:val="00444BB7"/>
    <w:rsid w:val="005A6891"/>
    <w:rsid w:val="00632704"/>
    <w:rsid w:val="00800F8A"/>
    <w:rsid w:val="00874849"/>
    <w:rsid w:val="00C41944"/>
    <w:rsid w:val="00C6348E"/>
    <w:rsid w:val="00D31413"/>
    <w:rsid w:val="00DF47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1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5A689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DF47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A689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A6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68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891"/>
    <w:rPr>
      <w:rFonts w:ascii="Tahoma" w:hAnsi="Tahoma" w:cs="Tahoma"/>
      <w:sz w:val="16"/>
      <w:szCs w:val="16"/>
    </w:rPr>
  </w:style>
  <w:style w:type="character" w:customStyle="1" w:styleId="Rubrik4Char">
    <w:name w:val="Rubrik 4 Char"/>
    <w:basedOn w:val="Standardstycketeckensnitt"/>
    <w:link w:val="Rubrik4"/>
    <w:uiPriority w:val="9"/>
    <w:semiHidden/>
    <w:rsid w:val="00DF47C2"/>
    <w:rPr>
      <w:rFonts w:asciiTheme="majorHAnsi" w:eastAsiaTheme="majorEastAsia" w:hAnsiTheme="majorHAnsi" w:cstheme="majorBidi"/>
      <w:b/>
      <w:bCs/>
      <w:i/>
      <w:iCs/>
      <w:color w:val="4F81BD" w:themeColor="accent1"/>
    </w:rPr>
  </w:style>
  <w:style w:type="character" w:customStyle="1" w:styleId="Rubrik1Char">
    <w:name w:val="Rubrik 1 Char"/>
    <w:basedOn w:val="Standardstycketeckensnitt"/>
    <w:link w:val="Rubrik1"/>
    <w:uiPriority w:val="9"/>
    <w:rsid w:val="00C41944"/>
    <w:rPr>
      <w:rFonts w:asciiTheme="majorHAnsi" w:eastAsiaTheme="majorEastAsia" w:hAnsiTheme="majorHAnsi" w:cstheme="majorBidi"/>
      <w:b/>
      <w:bCs/>
      <w:color w:val="365F91" w:themeColor="accent1" w:themeShade="BF"/>
      <w:sz w:val="28"/>
      <w:szCs w:val="28"/>
    </w:rPr>
  </w:style>
  <w:style w:type="character" w:customStyle="1" w:styleId="abimageblock">
    <w:name w:val="abimageblock"/>
    <w:basedOn w:val="Standardstycketeckensnitt"/>
    <w:rsid w:val="00C41944"/>
  </w:style>
  <w:style w:type="character" w:styleId="Hyperlnk">
    <w:name w:val="Hyperlink"/>
    <w:basedOn w:val="Standardstycketeckensnitt"/>
    <w:uiPriority w:val="99"/>
    <w:semiHidden/>
    <w:unhideWhenUsed/>
    <w:rsid w:val="00C41944"/>
    <w:rPr>
      <w:color w:val="0000FF"/>
      <w:u w:val="single"/>
    </w:rPr>
  </w:style>
  <w:style w:type="character" w:customStyle="1" w:styleId="abimagecaption">
    <w:name w:val="abimagecaption"/>
    <w:basedOn w:val="Standardstycketeckensnitt"/>
    <w:rsid w:val="00C41944"/>
  </w:style>
  <w:style w:type="character" w:customStyle="1" w:styleId="abiconcircleplus">
    <w:name w:val="abiconcircleplus"/>
    <w:basedOn w:val="Standardstycketeckensnitt"/>
    <w:rsid w:val="00C41944"/>
  </w:style>
  <w:style w:type="character" w:styleId="Stark">
    <w:name w:val="Strong"/>
    <w:basedOn w:val="Standardstycketeckensnitt"/>
    <w:uiPriority w:val="22"/>
    <w:qFormat/>
    <w:rsid w:val="00C419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C419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5A689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4">
    <w:name w:val="heading 4"/>
    <w:basedOn w:val="Normal"/>
    <w:next w:val="Normal"/>
    <w:link w:val="Rubrik4Char"/>
    <w:uiPriority w:val="9"/>
    <w:semiHidden/>
    <w:unhideWhenUsed/>
    <w:qFormat/>
    <w:rsid w:val="00DF47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5A6891"/>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5A689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A689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A6891"/>
    <w:rPr>
      <w:rFonts w:ascii="Tahoma" w:hAnsi="Tahoma" w:cs="Tahoma"/>
      <w:sz w:val="16"/>
      <w:szCs w:val="16"/>
    </w:rPr>
  </w:style>
  <w:style w:type="character" w:customStyle="1" w:styleId="Rubrik4Char">
    <w:name w:val="Rubrik 4 Char"/>
    <w:basedOn w:val="Standardstycketeckensnitt"/>
    <w:link w:val="Rubrik4"/>
    <w:uiPriority w:val="9"/>
    <w:semiHidden/>
    <w:rsid w:val="00DF47C2"/>
    <w:rPr>
      <w:rFonts w:asciiTheme="majorHAnsi" w:eastAsiaTheme="majorEastAsia" w:hAnsiTheme="majorHAnsi" w:cstheme="majorBidi"/>
      <w:b/>
      <w:bCs/>
      <w:i/>
      <w:iCs/>
      <w:color w:val="4F81BD" w:themeColor="accent1"/>
    </w:rPr>
  </w:style>
  <w:style w:type="character" w:customStyle="1" w:styleId="Rubrik1Char">
    <w:name w:val="Rubrik 1 Char"/>
    <w:basedOn w:val="Standardstycketeckensnitt"/>
    <w:link w:val="Rubrik1"/>
    <w:uiPriority w:val="9"/>
    <w:rsid w:val="00C41944"/>
    <w:rPr>
      <w:rFonts w:asciiTheme="majorHAnsi" w:eastAsiaTheme="majorEastAsia" w:hAnsiTheme="majorHAnsi" w:cstheme="majorBidi"/>
      <w:b/>
      <w:bCs/>
      <w:color w:val="365F91" w:themeColor="accent1" w:themeShade="BF"/>
      <w:sz w:val="28"/>
      <w:szCs w:val="28"/>
    </w:rPr>
  </w:style>
  <w:style w:type="character" w:customStyle="1" w:styleId="abimageblock">
    <w:name w:val="abimageblock"/>
    <w:basedOn w:val="Standardstycketeckensnitt"/>
    <w:rsid w:val="00C41944"/>
  </w:style>
  <w:style w:type="character" w:styleId="Hyperlnk">
    <w:name w:val="Hyperlink"/>
    <w:basedOn w:val="Standardstycketeckensnitt"/>
    <w:uiPriority w:val="99"/>
    <w:semiHidden/>
    <w:unhideWhenUsed/>
    <w:rsid w:val="00C41944"/>
    <w:rPr>
      <w:color w:val="0000FF"/>
      <w:u w:val="single"/>
    </w:rPr>
  </w:style>
  <w:style w:type="character" w:customStyle="1" w:styleId="abimagecaption">
    <w:name w:val="abimagecaption"/>
    <w:basedOn w:val="Standardstycketeckensnitt"/>
    <w:rsid w:val="00C41944"/>
  </w:style>
  <w:style w:type="character" w:customStyle="1" w:styleId="abiconcircleplus">
    <w:name w:val="abiconcircleplus"/>
    <w:basedOn w:val="Standardstycketeckensnitt"/>
    <w:rsid w:val="00C41944"/>
  </w:style>
  <w:style w:type="character" w:styleId="Stark">
    <w:name w:val="Strong"/>
    <w:basedOn w:val="Standardstycketeckensnitt"/>
    <w:uiPriority w:val="22"/>
    <w:qFormat/>
    <w:rsid w:val="00C419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05213">
      <w:bodyDiv w:val="1"/>
      <w:marLeft w:val="0"/>
      <w:marRight w:val="0"/>
      <w:marTop w:val="0"/>
      <w:marBottom w:val="0"/>
      <w:divBdr>
        <w:top w:val="none" w:sz="0" w:space="0" w:color="auto"/>
        <w:left w:val="none" w:sz="0" w:space="0" w:color="auto"/>
        <w:bottom w:val="none" w:sz="0" w:space="0" w:color="auto"/>
        <w:right w:val="none" w:sz="0" w:space="0" w:color="auto"/>
      </w:divBdr>
      <w:divsChild>
        <w:div w:id="563033087">
          <w:marLeft w:val="0"/>
          <w:marRight w:val="0"/>
          <w:marTop w:val="0"/>
          <w:marBottom w:val="0"/>
          <w:divBdr>
            <w:top w:val="none" w:sz="0" w:space="0" w:color="auto"/>
            <w:left w:val="none" w:sz="0" w:space="0" w:color="auto"/>
            <w:bottom w:val="none" w:sz="0" w:space="0" w:color="auto"/>
            <w:right w:val="none" w:sz="0" w:space="0" w:color="auto"/>
          </w:divBdr>
          <w:divsChild>
            <w:div w:id="1257246999">
              <w:marLeft w:val="0"/>
              <w:marRight w:val="0"/>
              <w:marTop w:val="0"/>
              <w:marBottom w:val="0"/>
              <w:divBdr>
                <w:top w:val="none" w:sz="0" w:space="0" w:color="auto"/>
                <w:left w:val="none" w:sz="0" w:space="0" w:color="auto"/>
                <w:bottom w:val="none" w:sz="0" w:space="0" w:color="auto"/>
                <w:right w:val="none" w:sz="0" w:space="0" w:color="auto"/>
              </w:divBdr>
            </w:div>
          </w:divsChild>
        </w:div>
        <w:div w:id="1632442106">
          <w:marLeft w:val="0"/>
          <w:marRight w:val="0"/>
          <w:marTop w:val="0"/>
          <w:marBottom w:val="0"/>
          <w:divBdr>
            <w:top w:val="none" w:sz="0" w:space="0" w:color="auto"/>
            <w:left w:val="none" w:sz="0" w:space="0" w:color="auto"/>
            <w:bottom w:val="none" w:sz="0" w:space="0" w:color="auto"/>
            <w:right w:val="none" w:sz="0" w:space="0" w:color="auto"/>
          </w:divBdr>
        </w:div>
      </w:divsChild>
    </w:div>
    <w:div w:id="1604220901">
      <w:bodyDiv w:val="1"/>
      <w:marLeft w:val="0"/>
      <w:marRight w:val="0"/>
      <w:marTop w:val="0"/>
      <w:marBottom w:val="0"/>
      <w:divBdr>
        <w:top w:val="none" w:sz="0" w:space="0" w:color="auto"/>
        <w:left w:val="none" w:sz="0" w:space="0" w:color="auto"/>
        <w:bottom w:val="none" w:sz="0" w:space="0" w:color="auto"/>
        <w:right w:val="none" w:sz="0" w:space="0" w:color="auto"/>
      </w:divBdr>
      <w:divsChild>
        <w:div w:id="1037656513">
          <w:marLeft w:val="0"/>
          <w:marRight w:val="0"/>
          <w:marTop w:val="0"/>
          <w:marBottom w:val="0"/>
          <w:divBdr>
            <w:top w:val="none" w:sz="0" w:space="0" w:color="auto"/>
            <w:left w:val="none" w:sz="0" w:space="0" w:color="auto"/>
            <w:bottom w:val="none" w:sz="0" w:space="0" w:color="auto"/>
            <w:right w:val="none" w:sz="0" w:space="0" w:color="auto"/>
          </w:divBdr>
        </w:div>
        <w:div w:id="1587961865">
          <w:marLeft w:val="0"/>
          <w:marRight w:val="0"/>
          <w:marTop w:val="0"/>
          <w:marBottom w:val="0"/>
          <w:divBdr>
            <w:top w:val="none" w:sz="0" w:space="0" w:color="auto"/>
            <w:left w:val="none" w:sz="0" w:space="0" w:color="auto"/>
            <w:bottom w:val="none" w:sz="0" w:space="0" w:color="auto"/>
            <w:right w:val="none" w:sz="0" w:space="0" w:color="auto"/>
          </w:divBdr>
        </w:div>
      </w:divsChild>
    </w:div>
    <w:div w:id="198496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publicerat-material/publikationer/Folkhalsan-i-Sverige-Arsrapport-2014/" TargetMode="External"/><Relationship Id="rId3" Type="http://schemas.openxmlformats.org/officeDocument/2006/relationships/settings" Target="settings.xml"/><Relationship Id="rId7" Type="http://schemas.openxmlformats.org/officeDocument/2006/relationships/hyperlink" Target="http://www.aftonbladet.se/tagg/6e5c565b-5b31-471c-a547-fe4c0123ed49/c1cb79c74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fx.aftonbladet-cdn.se/image/21570331/800/normal/bdcd32360378c/biskop1.jpg"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tonbladet.se/tagg/2a5f511fe90235769635c4507c79a557226e07f1/7c49bbd7f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TotalTime>
  <Pages>3</Pages>
  <Words>903</Words>
  <Characters>4790</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Jesaia Lowejko</dc:creator>
  <cp:lastModifiedBy>Jesaia Lowejko</cp:lastModifiedBy>
  <cp:revision>1</cp:revision>
  <cp:lastPrinted>2015-10-29T17:08:00Z</cp:lastPrinted>
  <dcterms:created xsi:type="dcterms:W3CDTF">2015-10-28T15:54:00Z</dcterms:created>
  <dcterms:modified xsi:type="dcterms:W3CDTF">2015-10-30T14:59:00Z</dcterms:modified>
</cp:coreProperties>
</file>